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7335" w14:textId="6B1B28D1" w:rsidR="00C457C8" w:rsidRPr="002A19E8" w:rsidRDefault="00C457C8" w:rsidP="00C457C8">
      <w:pPr>
        <w:tabs>
          <w:tab w:val="left" w:pos="1701"/>
          <w:tab w:val="right" w:pos="9639"/>
        </w:tabs>
        <w:spacing w:after="60"/>
        <w:rPr>
          <w:b/>
          <w:sz w:val="32"/>
          <w:szCs w:val="32"/>
          <w:lang w:val="sv-SE"/>
        </w:rPr>
      </w:pPr>
      <w:r w:rsidRPr="00D379D8">
        <w:rPr>
          <w:b/>
          <w:sz w:val="24"/>
          <w:szCs w:val="24"/>
          <w:lang w:val="en-US"/>
        </w:rPr>
        <w:t>3GPP TSG-RAN WG2#103</w:t>
      </w:r>
      <w:r w:rsidR="00A60D53">
        <w:rPr>
          <w:b/>
          <w:sz w:val="24"/>
          <w:szCs w:val="24"/>
          <w:lang w:val="en-US"/>
        </w:rPr>
        <w:t>bis</w:t>
      </w:r>
      <w:r w:rsidRPr="00D379D8">
        <w:rPr>
          <w:b/>
          <w:lang w:val="en-US"/>
        </w:rPr>
        <w:tab/>
      </w:r>
      <w:r w:rsidRPr="002A19E8">
        <w:rPr>
          <w:b/>
          <w:sz w:val="32"/>
          <w:szCs w:val="32"/>
          <w:lang w:val="en-US"/>
        </w:rPr>
        <w:t>Tdoc R2-18</w:t>
      </w:r>
      <w:r w:rsidR="002A19E8" w:rsidRPr="002A19E8">
        <w:rPr>
          <w:b/>
          <w:sz w:val="32"/>
          <w:szCs w:val="32"/>
          <w:lang w:val="sv-SE"/>
        </w:rPr>
        <w:t>14805</w:t>
      </w:r>
    </w:p>
    <w:p w14:paraId="4E3DF4D2" w14:textId="760F1A22" w:rsidR="004D2AAE" w:rsidRDefault="00C457C8" w:rsidP="00C457C8">
      <w:pPr>
        <w:pStyle w:val="3GPPHeader"/>
      </w:pPr>
      <w:r w:rsidRPr="002A19E8">
        <w:rPr>
          <w:szCs w:val="24"/>
          <w:lang w:val="en-US"/>
        </w:rPr>
        <w:t>Chengdu, PR China, 8</w:t>
      </w:r>
      <w:r w:rsidRPr="002A19E8">
        <w:rPr>
          <w:szCs w:val="24"/>
          <w:vertAlign w:val="superscript"/>
          <w:lang w:val="en-US"/>
        </w:rPr>
        <w:t>th</w:t>
      </w:r>
      <w:r w:rsidRPr="002A19E8">
        <w:rPr>
          <w:szCs w:val="24"/>
          <w:lang w:val="en-US"/>
        </w:rPr>
        <w:t xml:space="preserve"> – 12</w:t>
      </w:r>
      <w:r w:rsidRPr="002A19E8">
        <w:rPr>
          <w:szCs w:val="24"/>
          <w:vertAlign w:val="superscript"/>
          <w:lang w:val="en-US"/>
        </w:rPr>
        <w:t>th</w:t>
      </w:r>
      <w:r w:rsidRPr="002A19E8">
        <w:rPr>
          <w:szCs w:val="24"/>
          <w:lang w:val="en-US"/>
        </w:rPr>
        <w:t xml:space="preserve"> October 2018</w:t>
      </w:r>
      <w:r w:rsidR="005E2E6E" w:rsidRPr="002A19E8">
        <w:t xml:space="preserve"> </w:t>
      </w:r>
      <w:r w:rsidR="005E2E6E" w:rsidRPr="002A19E8">
        <w:tab/>
        <w:t>Revision of</w:t>
      </w:r>
      <w:r w:rsidR="005E2E6E">
        <w:t xml:space="preserve"> R2-18116</w:t>
      </w:r>
      <w:r w:rsidR="006D11C9">
        <w:t>34</w:t>
      </w:r>
    </w:p>
    <w:p w14:paraId="0C4FDF86" w14:textId="77777777" w:rsidR="0032193D" w:rsidRPr="00332838" w:rsidRDefault="0032193D" w:rsidP="00300AE8">
      <w:pPr>
        <w:pStyle w:val="3GPPHeader"/>
        <w:rPr>
          <w:sz w:val="22"/>
          <w:szCs w:val="22"/>
        </w:rPr>
      </w:pPr>
    </w:p>
    <w:p w14:paraId="33F31FBB" w14:textId="5278E201" w:rsidR="005C6F4C" w:rsidRDefault="005C6F4C" w:rsidP="005C6F4C">
      <w:pPr>
        <w:pStyle w:val="3GPPHeader"/>
        <w:rPr>
          <w:sz w:val="22"/>
          <w:szCs w:val="22"/>
          <w:lang w:val="en-US"/>
        </w:rPr>
      </w:pPr>
      <w:r>
        <w:rPr>
          <w:sz w:val="22"/>
          <w:szCs w:val="22"/>
          <w:lang w:val="en-US"/>
        </w:rPr>
        <w:t>Agenda Item:</w:t>
      </w:r>
      <w:r>
        <w:rPr>
          <w:sz w:val="22"/>
          <w:szCs w:val="22"/>
          <w:lang w:val="en-US"/>
        </w:rPr>
        <w:tab/>
        <w:t>10.3.1.</w:t>
      </w:r>
      <w:r w:rsidR="00001D23">
        <w:rPr>
          <w:sz w:val="22"/>
          <w:szCs w:val="22"/>
          <w:lang w:val="en-US"/>
        </w:rPr>
        <w:t>4</w:t>
      </w:r>
    </w:p>
    <w:p w14:paraId="1115198F" w14:textId="77777777" w:rsidR="005C6F4C" w:rsidRDefault="005C6F4C" w:rsidP="005C6F4C">
      <w:pPr>
        <w:pStyle w:val="3GPPHeader"/>
        <w:rPr>
          <w:sz w:val="22"/>
          <w:szCs w:val="22"/>
          <w:lang w:val="en-US"/>
        </w:rPr>
      </w:pPr>
      <w:r>
        <w:rPr>
          <w:sz w:val="22"/>
          <w:szCs w:val="22"/>
          <w:lang w:val="en-US"/>
        </w:rPr>
        <w:t>Source:</w:t>
      </w:r>
      <w:r>
        <w:rPr>
          <w:sz w:val="22"/>
          <w:szCs w:val="22"/>
          <w:lang w:val="en-US"/>
        </w:rPr>
        <w:tab/>
        <w:t>Ericsson</w:t>
      </w:r>
    </w:p>
    <w:p w14:paraId="71824782" w14:textId="77777777" w:rsidR="005C6F4C" w:rsidRDefault="005C6F4C" w:rsidP="005C6F4C">
      <w:pPr>
        <w:pStyle w:val="3GPPHeader"/>
        <w:rPr>
          <w:sz w:val="22"/>
          <w:szCs w:val="22"/>
          <w:lang w:val="en-US"/>
        </w:rPr>
      </w:pPr>
      <w:r>
        <w:rPr>
          <w:sz w:val="22"/>
          <w:szCs w:val="22"/>
          <w:lang w:val="en-US"/>
        </w:rPr>
        <w:t>Title:</w:t>
      </w:r>
      <w:r>
        <w:rPr>
          <w:sz w:val="22"/>
          <w:szCs w:val="22"/>
          <w:lang w:val="en-US"/>
        </w:rPr>
        <w:tab/>
        <w:t>Determination of PH value in Carrier Aggregation</w:t>
      </w:r>
    </w:p>
    <w:p w14:paraId="2DFE27C9" w14:textId="77777777" w:rsidR="005C6F4C" w:rsidRDefault="005C6F4C" w:rsidP="005C6F4C">
      <w:pPr>
        <w:pStyle w:val="3GPPHeader"/>
        <w:rPr>
          <w:sz w:val="22"/>
          <w:szCs w:val="22"/>
          <w:lang w:val="en-US"/>
        </w:rPr>
      </w:pPr>
      <w:r>
        <w:rPr>
          <w:sz w:val="22"/>
          <w:szCs w:val="22"/>
          <w:lang w:val="en-US"/>
        </w:rPr>
        <w:t>Document for:</w:t>
      </w:r>
      <w:r>
        <w:rPr>
          <w:sz w:val="22"/>
          <w:szCs w:val="22"/>
          <w:lang w:val="en-US"/>
        </w:rPr>
        <w:tab/>
        <w:t>Discussion, Decision</w:t>
      </w:r>
    </w:p>
    <w:p w14:paraId="0A4910AE" w14:textId="77777777" w:rsidR="005C6F4C" w:rsidRDefault="005C6F4C" w:rsidP="005C6F4C">
      <w:pPr>
        <w:pStyle w:val="3GPPHeader"/>
        <w:spacing w:after="60"/>
      </w:pPr>
    </w:p>
    <w:p w14:paraId="3011A1B4" w14:textId="77777777" w:rsidR="005C6F4C" w:rsidRDefault="005C6F4C" w:rsidP="005C6F4C">
      <w:pPr>
        <w:pStyle w:val="Heading1"/>
        <w:numPr>
          <w:ilvl w:val="0"/>
          <w:numId w:val="19"/>
        </w:numPr>
        <w:textAlignment w:val="auto"/>
        <w:rPr>
          <w:lang w:val="en-US"/>
        </w:rPr>
      </w:pPr>
      <w:r>
        <w:rPr>
          <w:lang w:val="en-US"/>
        </w:rPr>
        <w:t>Introduction</w:t>
      </w:r>
    </w:p>
    <w:p w14:paraId="2F753C9A" w14:textId="77777777" w:rsidR="005C6F4C" w:rsidRDefault="005C6F4C" w:rsidP="005C6F4C">
      <w:pPr>
        <w:rPr>
          <w:lang w:eastAsia="ja-JP"/>
        </w:rPr>
      </w:pPr>
      <w:r>
        <w:rPr>
          <w:lang w:val="en-US" w:eastAsia="ja-JP"/>
        </w:rPr>
        <w:t xml:space="preserve">At </w:t>
      </w:r>
      <w:r>
        <w:rPr>
          <w:lang w:eastAsia="ja-JP"/>
        </w:rPr>
        <w:t>RAN2#AdHoc 1807, companies have discussed how to determine the PH value in CA, i.e., based on a real PUSCH transmission or a reference format [1]. The decision was postponed. The detailed discussions are highlighted as below</w:t>
      </w:r>
    </w:p>
    <w:p w14:paraId="3FA29AFD" w14:textId="77777777" w:rsidR="005C6F4C" w:rsidRDefault="000302F8" w:rsidP="005C6F4C">
      <w:pPr>
        <w:pStyle w:val="Doc-title"/>
      </w:pPr>
      <w:hyperlink r:id="rId12" w:tooltip="D:Documents3GPPtsg_ranWG2RAN2DocsR2-1809580.zip" w:history="1">
        <w:r w:rsidR="005C6F4C">
          <w:rPr>
            <w:rStyle w:val="Hyperlink"/>
          </w:rPr>
          <w:t>R2-1809580</w:t>
        </w:r>
      </w:hyperlink>
      <w:r w:rsidR="005C6F4C">
        <w:tab/>
        <w:t>Further consideration on determination of the PH value type</w:t>
      </w:r>
      <w:r w:rsidR="005C6F4C">
        <w:tab/>
        <w:t>Huawei, HiSilicon</w:t>
      </w:r>
      <w:r w:rsidR="005C6F4C">
        <w:tab/>
        <w:t>discussion</w:t>
      </w:r>
      <w:r w:rsidR="005C6F4C">
        <w:tab/>
        <w:t>Rel-15</w:t>
      </w:r>
      <w:r w:rsidR="005C6F4C">
        <w:tab/>
        <w:t>NR_newRAT-Core</w:t>
      </w:r>
    </w:p>
    <w:p w14:paraId="5C20BAD8" w14:textId="77777777" w:rsidR="005C6F4C" w:rsidRDefault="005C6F4C" w:rsidP="005C6F4C">
      <w:pPr>
        <w:pStyle w:val="Doc-text2"/>
        <w:numPr>
          <w:ilvl w:val="0"/>
          <w:numId w:val="23"/>
        </w:numPr>
        <w:rPr>
          <w:lang w:eastAsia="zh-CN"/>
        </w:rPr>
      </w:pPr>
      <w:r>
        <w:rPr>
          <w:lang w:eastAsia="zh-CN"/>
        </w:rPr>
        <w:t>Lenovo think that CG indeed need to be mentioned.</w:t>
      </w:r>
    </w:p>
    <w:p w14:paraId="6EACCFA0" w14:textId="77777777" w:rsidR="005C6F4C" w:rsidRDefault="005C6F4C" w:rsidP="005C6F4C">
      <w:pPr>
        <w:pStyle w:val="Doc-text2"/>
        <w:numPr>
          <w:ilvl w:val="0"/>
          <w:numId w:val="23"/>
        </w:numPr>
      </w:pPr>
      <w:r>
        <w:t>LG think we don’t need any text at all in MAC specifying the type for generation of PHR</w:t>
      </w:r>
    </w:p>
    <w:p w14:paraId="76A62130" w14:textId="77777777" w:rsidR="005C6F4C" w:rsidRDefault="005C6F4C" w:rsidP="005C6F4C">
      <w:pPr>
        <w:pStyle w:val="Doc-text2"/>
        <w:numPr>
          <w:ilvl w:val="0"/>
          <w:numId w:val="23"/>
        </w:numPr>
      </w:pPr>
      <w:r>
        <w:t xml:space="preserve">QC think that MAC can determine the type as MAC has all information. QC agrees CG need to be </w:t>
      </w:r>
      <w:proofErr w:type="gramStart"/>
      <w:r>
        <w:t>taken into account</w:t>
      </w:r>
      <w:proofErr w:type="gramEnd"/>
      <w:r>
        <w:t xml:space="preserve"> and the LCP part is correct. </w:t>
      </w:r>
    </w:p>
    <w:p w14:paraId="5E541636" w14:textId="77777777" w:rsidR="005C6F4C" w:rsidRDefault="005C6F4C" w:rsidP="005C6F4C">
      <w:pPr>
        <w:pStyle w:val="Doc-text2"/>
        <w:numPr>
          <w:ilvl w:val="0"/>
          <w:numId w:val="23"/>
        </w:numPr>
      </w:pPr>
      <w:r>
        <w:t>Samsung think the main point is to allow UE implementation to choose what type to report.</w:t>
      </w:r>
    </w:p>
    <w:p w14:paraId="5AE5057C" w14:textId="77777777" w:rsidR="005C6F4C" w:rsidRDefault="005C6F4C" w:rsidP="005C6F4C">
      <w:pPr>
        <w:pStyle w:val="Doc-text2"/>
        <w:numPr>
          <w:ilvl w:val="0"/>
          <w:numId w:val="23"/>
        </w:numPr>
      </w:pPr>
      <w:r>
        <w:t xml:space="preserve">Nokia wonders what </w:t>
      </w:r>
      <w:proofErr w:type="gramStart"/>
      <w:r>
        <w:t>are the problems</w:t>
      </w:r>
      <w:proofErr w:type="gramEnd"/>
      <w:r>
        <w:t xml:space="preserve">. </w:t>
      </w:r>
    </w:p>
    <w:p w14:paraId="1F104728" w14:textId="77777777" w:rsidR="005C6F4C" w:rsidRDefault="005C6F4C" w:rsidP="005C6F4C">
      <w:pPr>
        <w:pStyle w:val="Doc-text2"/>
        <w:numPr>
          <w:ilvl w:val="0"/>
          <w:numId w:val="23"/>
        </w:numPr>
      </w:pPr>
      <w:r>
        <w:t xml:space="preserve">Two problems a) current text refers to PDCCH occasion of the first UL grant, b) CG is not </w:t>
      </w:r>
      <w:proofErr w:type="gramStart"/>
      <w:r>
        <w:t>taken into account</w:t>
      </w:r>
      <w:proofErr w:type="gramEnd"/>
      <w:r>
        <w:t xml:space="preserve">. </w:t>
      </w:r>
    </w:p>
    <w:p w14:paraId="4E868C97" w14:textId="77777777" w:rsidR="005C6F4C" w:rsidRDefault="005C6F4C" w:rsidP="005C6F4C">
      <w:pPr>
        <w:pStyle w:val="Doc-text2"/>
        <w:numPr>
          <w:ilvl w:val="0"/>
          <w:numId w:val="23"/>
        </w:numPr>
      </w:pPr>
      <w:r>
        <w:t>Huawei think we can refer to LCP even though it is implementation dependant</w:t>
      </w:r>
    </w:p>
    <w:p w14:paraId="1ACC6C80" w14:textId="77777777" w:rsidR="005C6F4C" w:rsidRDefault="005C6F4C" w:rsidP="005C6F4C">
      <w:pPr>
        <w:pStyle w:val="Doc-text2"/>
        <w:numPr>
          <w:ilvl w:val="0"/>
          <w:numId w:val="23"/>
        </w:numPr>
      </w:pPr>
      <w:r>
        <w:t xml:space="preserve">Nokia think that UE processing time is specified in L1 and that can be used here. </w:t>
      </w:r>
    </w:p>
    <w:p w14:paraId="2F6B36B4" w14:textId="77777777" w:rsidR="005C6F4C" w:rsidRDefault="005C6F4C" w:rsidP="005C6F4C">
      <w:pPr>
        <w:pStyle w:val="Doc-text2"/>
        <w:numPr>
          <w:ilvl w:val="0"/>
          <w:numId w:val="23"/>
        </w:numPr>
      </w:pPr>
      <w:r>
        <w:t xml:space="preserve">LG want to think about this, and check the timing specified in L1. </w:t>
      </w:r>
    </w:p>
    <w:p w14:paraId="3F1E66D1" w14:textId="77777777" w:rsidR="005C6F4C" w:rsidRDefault="005C6F4C" w:rsidP="005C6F4C">
      <w:pPr>
        <w:pStyle w:val="Agreement"/>
      </w:pPr>
      <w:r>
        <w:t>Postpone to next meeting</w:t>
      </w:r>
    </w:p>
    <w:p w14:paraId="0C5B2816" w14:textId="77777777" w:rsidR="005C6F4C" w:rsidRDefault="005C6F4C" w:rsidP="005C6F4C">
      <w:pPr>
        <w:rPr>
          <w:lang w:val="en-US"/>
        </w:rPr>
      </w:pPr>
    </w:p>
    <w:p w14:paraId="201D8466" w14:textId="77777777" w:rsidR="005C6F4C" w:rsidRDefault="005C6F4C" w:rsidP="005C6F4C">
      <w:pPr>
        <w:rPr>
          <w:lang w:val="en-US"/>
        </w:rPr>
      </w:pPr>
      <w:r>
        <w:rPr>
          <w:lang w:val="en-US"/>
        </w:rPr>
        <w:t>We give our analyses and propose corresponding solutions in this paper.</w:t>
      </w:r>
    </w:p>
    <w:p w14:paraId="276CFD92" w14:textId="77777777" w:rsidR="005C6F4C" w:rsidRDefault="005C6F4C" w:rsidP="005C6F4C">
      <w:pPr>
        <w:pStyle w:val="Heading1"/>
        <w:numPr>
          <w:ilvl w:val="0"/>
          <w:numId w:val="19"/>
        </w:numPr>
        <w:textAlignment w:val="auto"/>
        <w:rPr>
          <w:lang w:val="en-US"/>
        </w:rPr>
      </w:pPr>
      <w:r>
        <w:rPr>
          <w:lang w:val="en-US"/>
        </w:rPr>
        <w:t>Discussions</w:t>
      </w:r>
    </w:p>
    <w:p w14:paraId="1B488C94" w14:textId="77777777" w:rsidR="005C6F4C" w:rsidRDefault="005C6F4C" w:rsidP="005C6F4C">
      <w:pPr>
        <w:rPr>
          <w:rFonts w:eastAsia="MS Mincho"/>
          <w:lang w:val="en-US"/>
        </w:rPr>
      </w:pPr>
      <w:r>
        <w:rPr>
          <w:rFonts w:eastAsia="MS Mincho"/>
          <w:lang w:val="en-US"/>
        </w:rPr>
        <w:t>In case CA, a UE can be configured with multiple serving cells and each of them may be configured with different numerology and PUSCH transmission duration. One example is shown in Figure 1.</w:t>
      </w:r>
    </w:p>
    <w:p w14:paraId="4945C8A1" w14:textId="1BDE7370" w:rsidR="005C6F4C" w:rsidRDefault="005C6F4C" w:rsidP="005C6F4C">
      <w:pPr>
        <w:jc w:val="center"/>
        <w:rPr>
          <w:rFonts w:eastAsia="MS Mincho"/>
          <w:lang w:val="en-US"/>
        </w:rPr>
      </w:pPr>
      <w:r>
        <w:rPr>
          <w:rFonts w:eastAsia="MS Mincho"/>
          <w:noProof/>
          <w:lang w:val="en-US"/>
        </w:rPr>
        <w:drawing>
          <wp:inline distT="0" distB="0" distL="0" distR="0" wp14:anchorId="0BCF8A23" wp14:editId="1876AD2E">
            <wp:extent cx="3299460" cy="1397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9460" cy="1397000"/>
                    </a:xfrm>
                    <a:prstGeom prst="rect">
                      <a:avLst/>
                    </a:prstGeom>
                    <a:noFill/>
                    <a:ln>
                      <a:noFill/>
                    </a:ln>
                  </pic:spPr>
                </pic:pic>
              </a:graphicData>
            </a:graphic>
          </wp:inline>
        </w:drawing>
      </w:r>
    </w:p>
    <w:p w14:paraId="152EB18A" w14:textId="77777777" w:rsidR="005C6F4C" w:rsidRDefault="005C6F4C" w:rsidP="005C6F4C">
      <w:pPr>
        <w:pStyle w:val="Caption"/>
        <w:rPr>
          <w:rFonts w:eastAsia="MS Mincho"/>
          <w:lang w:val="en-US"/>
        </w:rPr>
      </w:pPr>
      <w:r>
        <w:rPr>
          <w:rFonts w:eastAsia="MS Mincho"/>
          <w:lang w:val="en-US"/>
        </w:rPr>
        <w:t>Figure 1. PHR value trigger and report in CA</w:t>
      </w:r>
    </w:p>
    <w:p w14:paraId="3B5DC7EF" w14:textId="77777777" w:rsidR="005C6F4C" w:rsidRDefault="005C6F4C" w:rsidP="005C6F4C">
      <w:pPr>
        <w:rPr>
          <w:rFonts w:eastAsia="MS Mincho"/>
          <w:lang w:val="en-US"/>
        </w:rPr>
      </w:pPr>
      <w:r>
        <w:rPr>
          <w:rFonts w:eastAsia="MS Mincho"/>
          <w:lang w:val="en-US"/>
        </w:rPr>
        <w:t xml:space="preserve">In this example, a UE is configured with 2 serving cells, i.e., Cell 1 and Cell 2. Cell 1 is configured with a long slot, while Cell 2 is configured with a short slot. A PHR event is triggered at the time t0 (slot n). Later on, the </w:t>
      </w:r>
      <w:r>
        <w:rPr>
          <w:rFonts w:eastAsia="MS Mincho"/>
          <w:lang w:val="en-US"/>
        </w:rPr>
        <w:lastRenderedPageBreak/>
        <w:t xml:space="preserve">UE first receives a grant in Cell 1 at the time t11 (slot n+1), the UE decides to transmit the PHR in Cell 1. After the LCP and multiplexing procedure, the PUSCH data including the PHR MAC CE is transmitted at the time t12 (slot n+3) in Cell 1. Meanwhile, the UE receives a second grant in Cell 2 at the time t21 (slot m+3), which is earlier than the time when the LCP is started in Cell 1. Its corresponding transmission is started at t22 (slot m+4) in Cell 2. </w:t>
      </w:r>
    </w:p>
    <w:p w14:paraId="17CBFCA2" w14:textId="77777777" w:rsidR="005C6F4C" w:rsidRDefault="005C6F4C" w:rsidP="005C6F4C">
      <w:pPr>
        <w:rPr>
          <w:rFonts w:eastAsia="MS Mincho"/>
          <w:lang w:val="en-US"/>
        </w:rPr>
      </w:pPr>
      <w:r>
        <w:rPr>
          <w:rFonts w:eastAsia="MS Mincho"/>
          <w:lang w:val="en-US"/>
        </w:rPr>
        <w:t>In the existing MAC spec, the UE MAC can determine the PH value based on the check that is highlighted as below</w:t>
      </w:r>
    </w:p>
    <w:p w14:paraId="07A7A068" w14:textId="77777777" w:rsidR="005C6F4C" w:rsidRDefault="005C6F4C" w:rsidP="005C6F4C">
      <w:pPr>
        <w:rPr>
          <w:i/>
          <w:lang w:eastAsia="ko-KR"/>
        </w:rPr>
      </w:pPr>
      <w:r>
        <w:rPr>
          <w:i/>
          <w:lang w:eastAsia="ko-KR"/>
        </w:rPr>
        <w:t xml:space="preserve">UE determines whether PH value for an activated Serving Cell is based on real transmission or a reference format by </w:t>
      </w:r>
      <w:r>
        <w:rPr>
          <w:i/>
          <w:highlight w:val="yellow"/>
          <w:lang w:eastAsia="ko-KR"/>
        </w:rPr>
        <w:t>considering the downlink control information which has been received until and including the PDCCH occasion in which the first UL grant for a new transmission</w:t>
      </w:r>
      <w:r>
        <w:rPr>
          <w:i/>
          <w:lang w:eastAsia="ko-KR"/>
        </w:rPr>
        <w:t xml:space="preserve"> is received since a PHR has been triggered.</w:t>
      </w:r>
    </w:p>
    <w:p w14:paraId="44C1692F" w14:textId="77777777" w:rsidR="005C6F4C" w:rsidRDefault="005C6F4C" w:rsidP="005C6F4C">
      <w:pPr>
        <w:pStyle w:val="Observation"/>
        <w:numPr>
          <w:ilvl w:val="0"/>
          <w:numId w:val="21"/>
        </w:numPr>
        <w:ind w:left="1701" w:hanging="1701"/>
        <w:textAlignment w:val="auto"/>
        <w:rPr>
          <w:lang w:val="en-US"/>
        </w:rPr>
      </w:pPr>
      <w:bookmarkStart w:id="0" w:name="_Toc521332692"/>
      <w:bookmarkStart w:id="1" w:name="_Toc520299142"/>
      <w:bookmarkStart w:id="2" w:name="_Toc525048898"/>
      <w:r>
        <w:rPr>
          <w:lang w:val="en-US"/>
        </w:rPr>
        <w:t>In CA, the UE determines whether a real or virtual PH value shall be applied for an active serving cell by considering the grant which has been received until and including the PDCCH occasion when the first UL grant for a new transmission is received since the PHR has been triggered.</w:t>
      </w:r>
      <w:bookmarkEnd w:id="0"/>
      <w:bookmarkEnd w:id="1"/>
      <w:bookmarkEnd w:id="2"/>
    </w:p>
    <w:p w14:paraId="4AECFAC7" w14:textId="77777777" w:rsidR="005C6F4C" w:rsidRDefault="005C6F4C" w:rsidP="005C6F4C">
      <w:pPr>
        <w:rPr>
          <w:rFonts w:eastAsia="MS Mincho"/>
        </w:rPr>
      </w:pPr>
      <w:r>
        <w:rPr>
          <w:rFonts w:eastAsia="MS Mincho"/>
        </w:rPr>
        <w:t>We have observed several issues which are summarized as below.</w:t>
      </w:r>
    </w:p>
    <w:p w14:paraId="005D81CF" w14:textId="77777777" w:rsidR="005C6F4C" w:rsidRDefault="005C6F4C" w:rsidP="005C6F4C">
      <w:pPr>
        <w:rPr>
          <w:rFonts w:eastAsia="MS Mincho"/>
        </w:rPr>
      </w:pPr>
      <w:r>
        <w:rPr>
          <w:rFonts w:eastAsia="MS Mincho"/>
        </w:rPr>
        <w:t xml:space="preserve">Issue 1:  the check should be only applied to serving cells in the same CG. </w:t>
      </w:r>
    </w:p>
    <w:p w14:paraId="1E4989B0" w14:textId="77777777" w:rsidR="005C6F4C" w:rsidRDefault="005C6F4C" w:rsidP="005C6F4C">
      <w:pPr>
        <w:rPr>
          <w:noProof/>
          <w:lang w:eastAsia="ko-KR"/>
        </w:rPr>
      </w:pPr>
      <w:r>
        <w:rPr>
          <w:rFonts w:eastAsia="MS Mincho"/>
        </w:rPr>
        <w:t xml:space="preserve">The check is only applicable to CA. In other words, it is applicable to the serving cells belonging to the same cell group (CG). For DC, a PHR can be triggered in the MAC entity in either of two CGs, </w:t>
      </w:r>
      <w:r>
        <w:rPr>
          <w:noProof/>
        </w:rPr>
        <w:t xml:space="preserve">when this MAC entity has UL resources allocated for </w:t>
      </w:r>
      <w:r>
        <w:rPr>
          <w:noProof/>
          <w:lang w:eastAsia="ko-KR"/>
        </w:rPr>
        <w:t xml:space="preserve">a </w:t>
      </w:r>
      <w:r>
        <w:rPr>
          <w:noProof/>
        </w:rPr>
        <w:t xml:space="preserve">new transmission, the MAC entity </w:t>
      </w:r>
      <w:r>
        <w:rPr>
          <w:rFonts w:eastAsia="MS Mincho"/>
        </w:rPr>
        <w:t xml:space="preserve">determines the PH value for every serving cell in that CG according to above check.; at the same time, </w:t>
      </w:r>
      <w:r>
        <w:rPr>
          <w:noProof/>
        </w:rPr>
        <w:t xml:space="preserve">the MAC entity </w:t>
      </w:r>
      <w:r>
        <w:rPr>
          <w:rFonts w:eastAsia="MS Mincho"/>
        </w:rPr>
        <w:t xml:space="preserve">determines PH value types for every cell in the other CG based on the parameter </w:t>
      </w:r>
      <w:r>
        <w:rPr>
          <w:i/>
          <w:noProof/>
          <w:lang w:eastAsia="ko-KR"/>
        </w:rPr>
        <w:t xml:space="preserve">phr-ModeOtherCG. </w:t>
      </w:r>
      <w:r>
        <w:rPr>
          <w:noProof/>
          <w:lang w:eastAsia="ko-KR"/>
        </w:rPr>
        <w:t xml:space="preserve">In more details, if the serving cell in the other CG has avaialble resources for transmission, and the parameter </w:t>
      </w:r>
      <w:r>
        <w:rPr>
          <w:i/>
          <w:noProof/>
          <w:lang w:eastAsia="ko-KR"/>
        </w:rPr>
        <w:t xml:space="preserve">phr-ModeOtherCG </w:t>
      </w:r>
      <w:r>
        <w:rPr>
          <w:noProof/>
          <w:lang w:eastAsia="ko-KR"/>
        </w:rPr>
        <w:t>is set as real, the MAC entity applies a real PH value for this serving cell. Otherwise, a virtual PH value is applied instead for this serving cell.</w:t>
      </w:r>
    </w:p>
    <w:p w14:paraId="0633F438" w14:textId="77777777" w:rsidR="005C6F4C" w:rsidRDefault="005C6F4C" w:rsidP="005C6F4C">
      <w:pPr>
        <w:pStyle w:val="Observation"/>
        <w:numPr>
          <w:ilvl w:val="0"/>
          <w:numId w:val="21"/>
        </w:numPr>
        <w:ind w:left="1701" w:hanging="1701"/>
        <w:textAlignment w:val="auto"/>
        <w:rPr>
          <w:lang w:val="en-US"/>
        </w:rPr>
      </w:pPr>
      <w:bookmarkStart w:id="3" w:name="_Toc521332693"/>
      <w:bookmarkStart w:id="4" w:name="_Toc525048899"/>
      <w:r>
        <w:rPr>
          <w:lang w:val="en-US"/>
        </w:rPr>
        <w:t xml:space="preserve">In DC, the UE determines whether a real or virtual PH value shall be applied for an active serving cell in the other CG based on the parameter </w:t>
      </w:r>
      <w:r>
        <w:rPr>
          <w:i/>
          <w:noProof/>
          <w:lang w:eastAsia="ko-KR"/>
        </w:rPr>
        <w:t>phr-ModeOtherCG</w:t>
      </w:r>
      <w:r>
        <w:rPr>
          <w:lang w:val="en-US"/>
        </w:rPr>
        <w:t>.</w:t>
      </w:r>
      <w:bookmarkEnd w:id="3"/>
      <w:bookmarkEnd w:id="4"/>
    </w:p>
    <w:p w14:paraId="122CAA97" w14:textId="77777777" w:rsidR="005C6F4C" w:rsidRDefault="005C6F4C" w:rsidP="005C6F4C">
      <w:pPr>
        <w:pStyle w:val="Proposal"/>
        <w:numPr>
          <w:ilvl w:val="0"/>
          <w:numId w:val="20"/>
        </w:numPr>
        <w:tabs>
          <w:tab w:val="num" w:pos="1304"/>
        </w:tabs>
        <w:ind w:left="1304"/>
        <w:textAlignment w:val="auto"/>
        <w:rPr>
          <w:lang w:val="en-US"/>
        </w:rPr>
      </w:pPr>
      <w:bookmarkStart w:id="5" w:name="_Toc521590289"/>
      <w:bookmarkStart w:id="6" w:name="_Toc521590248"/>
      <w:bookmarkStart w:id="7" w:name="_Toc521332685"/>
      <w:bookmarkStart w:id="8" w:name="_Toc520970566"/>
      <w:bookmarkStart w:id="9" w:name="_Toc520299145"/>
      <w:bookmarkStart w:id="10" w:name="_Toc520216853"/>
      <w:bookmarkStart w:id="11" w:name="_Toc520216818"/>
      <w:bookmarkStart w:id="12" w:name="_Toc525048907"/>
      <w:r>
        <w:t>Update the existing specification regarding how to determine the PH value type to state that the check is only applicable to cells belonging to the same CG.</w:t>
      </w:r>
      <w:bookmarkEnd w:id="5"/>
      <w:bookmarkEnd w:id="6"/>
      <w:bookmarkEnd w:id="7"/>
      <w:bookmarkEnd w:id="8"/>
      <w:bookmarkEnd w:id="9"/>
      <w:bookmarkEnd w:id="10"/>
      <w:bookmarkEnd w:id="11"/>
      <w:bookmarkEnd w:id="12"/>
    </w:p>
    <w:p w14:paraId="569916B4" w14:textId="77777777" w:rsidR="005C6F4C" w:rsidRDefault="005C6F4C" w:rsidP="005C6F4C">
      <w:pPr>
        <w:rPr>
          <w:noProof/>
          <w:lang w:eastAsia="ko-KR"/>
        </w:rPr>
      </w:pPr>
      <w:r>
        <w:rPr>
          <w:noProof/>
          <w:lang w:eastAsia="ko-KR"/>
        </w:rPr>
        <w:t>Issue 2:  the current texts refer to the PDCCH occasion in which the first UL grant for a new transmission. It means that the UE would report a virtual PH for Cell 2 in the example, although there is a real PUSCH transmission in Cell 2 while the PHR is transmitted. To increase the use of the PHR in the network the decision between virtual and real PHR must be taken as late as possible and must be made at a known point in time. As the processing time is known, that can be used to define this point in time, however, it might be even better to consider the latest point in time that the grant can be transmitted on PDCCH for scheduling the PUSCH. This way the processing time is transparent to MAC and it should make for a simpler specification. In this way, the UE MAC would then report a real PH value for Cell 2, this gives a more accurate PHR and is beneifical to improve resource efficiency for uplink scheduling and link adaptation.</w:t>
      </w:r>
    </w:p>
    <w:p w14:paraId="4A08EBE7" w14:textId="77777777" w:rsidR="005C6F4C" w:rsidRDefault="005C6F4C" w:rsidP="005C6F4C">
      <w:pPr>
        <w:pStyle w:val="Proposal"/>
        <w:numPr>
          <w:ilvl w:val="0"/>
          <w:numId w:val="20"/>
        </w:numPr>
        <w:tabs>
          <w:tab w:val="num" w:pos="1304"/>
        </w:tabs>
        <w:ind w:left="1304"/>
        <w:textAlignment w:val="auto"/>
        <w:rPr>
          <w:lang w:val="en-US"/>
        </w:rPr>
      </w:pPr>
      <w:bookmarkStart w:id="13" w:name="_Toc521590290"/>
      <w:bookmarkStart w:id="14" w:name="_Toc521590249"/>
      <w:bookmarkStart w:id="15" w:name="_Toc521332686"/>
      <w:bookmarkStart w:id="16" w:name="_Toc520970567"/>
      <w:bookmarkStart w:id="17" w:name="_Toc520299146"/>
      <w:bookmarkStart w:id="18" w:name="_Toc525048908"/>
      <w:r>
        <w:t>Instead of referring to “the PDCCH occasion for the first UL grant”, the UE MAC refers to “the latest point in time when the grant can be transmitted on PDCCH” on the CC which is selected for PHR transmission.</w:t>
      </w:r>
      <w:bookmarkEnd w:id="13"/>
      <w:bookmarkEnd w:id="14"/>
      <w:bookmarkEnd w:id="15"/>
      <w:bookmarkEnd w:id="16"/>
      <w:bookmarkEnd w:id="17"/>
      <w:bookmarkEnd w:id="18"/>
    </w:p>
    <w:p w14:paraId="534EE811" w14:textId="77777777" w:rsidR="005C6F4C" w:rsidRDefault="005C6F4C" w:rsidP="005C6F4C">
      <w:pPr>
        <w:rPr>
          <w:rFonts w:eastAsia="MS Mincho"/>
          <w:lang w:val="en-US"/>
        </w:rPr>
      </w:pPr>
      <w:r>
        <w:rPr>
          <w:rFonts w:eastAsia="MS Mincho"/>
          <w:lang w:val="en-US"/>
        </w:rPr>
        <w:t xml:space="preserve">Issue 3: another issue was also discussed in [1], which is concerning whether a configured grant shall be considered in the determination of PH value for an active serving cell. We think it is natural to also consider the configured grant for </w:t>
      </w:r>
      <w:proofErr w:type="gramStart"/>
      <w:r>
        <w:rPr>
          <w:rFonts w:eastAsia="MS Mincho"/>
          <w:lang w:val="en-US"/>
        </w:rPr>
        <w:t>an</w:t>
      </w:r>
      <w:proofErr w:type="gramEnd"/>
      <w:r>
        <w:rPr>
          <w:rFonts w:eastAsia="MS Mincho"/>
          <w:lang w:val="en-US"/>
        </w:rPr>
        <w:t xml:space="preserve"> serving cell in which the UE doesn’t receive a dynamic grant. Concerning PHR report, the UE MAC doesn’t need to distinguish a configured grant from a dynamic grant for </w:t>
      </w:r>
      <w:proofErr w:type="gramStart"/>
      <w:r>
        <w:rPr>
          <w:rFonts w:eastAsia="MS Mincho"/>
          <w:lang w:val="en-US"/>
        </w:rPr>
        <w:t>an</w:t>
      </w:r>
      <w:proofErr w:type="gramEnd"/>
      <w:r>
        <w:rPr>
          <w:rFonts w:eastAsia="MS Mincho"/>
          <w:lang w:val="en-US"/>
        </w:rPr>
        <w:t xml:space="preserve"> serving cell. </w:t>
      </w:r>
    </w:p>
    <w:p w14:paraId="1529A447" w14:textId="77777777" w:rsidR="005C6F4C" w:rsidRDefault="005C6F4C" w:rsidP="005C6F4C">
      <w:pPr>
        <w:pStyle w:val="Proposal"/>
        <w:numPr>
          <w:ilvl w:val="0"/>
          <w:numId w:val="20"/>
        </w:numPr>
        <w:tabs>
          <w:tab w:val="num" w:pos="1304"/>
        </w:tabs>
        <w:ind w:left="1304"/>
        <w:textAlignment w:val="auto"/>
        <w:rPr>
          <w:lang w:val="en-US"/>
        </w:rPr>
      </w:pPr>
      <w:bookmarkStart w:id="19" w:name="_Toc520216819"/>
      <w:bookmarkStart w:id="20" w:name="_Toc520216854"/>
      <w:bookmarkStart w:id="21" w:name="_Toc520299147"/>
      <w:bookmarkStart w:id="22" w:name="_Toc520970568"/>
      <w:bookmarkStart w:id="23" w:name="_Toc521332687"/>
      <w:bookmarkStart w:id="24" w:name="_Toc521590250"/>
      <w:bookmarkStart w:id="25" w:name="_Toc521590291"/>
      <w:bookmarkStart w:id="26" w:name="_Toc525048909"/>
      <w:r>
        <w:t>The UE MAC also considers the configured grant for an activated serving cell for determination of the PH value in case there is no dynamic grant is received for that cell since a PHR is triggered.</w:t>
      </w:r>
      <w:bookmarkEnd w:id="19"/>
      <w:bookmarkEnd w:id="20"/>
      <w:bookmarkEnd w:id="21"/>
      <w:bookmarkEnd w:id="22"/>
      <w:bookmarkEnd w:id="23"/>
      <w:bookmarkEnd w:id="24"/>
      <w:bookmarkEnd w:id="25"/>
      <w:bookmarkEnd w:id="26"/>
    </w:p>
    <w:p w14:paraId="3012A3D6" w14:textId="338B59C7" w:rsidR="00C10206" w:rsidRPr="006A5DFB" w:rsidRDefault="005C6F4C" w:rsidP="006A5DFB">
      <w:r w:rsidRPr="006A5DFB">
        <w:rPr>
          <w:rFonts w:eastAsia="MS Mincho"/>
        </w:rPr>
        <w:t>We have also proposed a corresponding CR in [2]</w:t>
      </w:r>
      <w:bookmarkStart w:id="27" w:name="_Toc521590143"/>
      <w:bookmarkStart w:id="28" w:name="_Toc525047983"/>
      <w:r w:rsidR="00C10206" w:rsidRPr="006A5DFB">
        <w:t>.</w:t>
      </w:r>
      <w:bookmarkEnd w:id="27"/>
      <w:bookmarkEnd w:id="28"/>
    </w:p>
    <w:p w14:paraId="69453E83" w14:textId="3199A276" w:rsidR="00CD7127" w:rsidRPr="002F33F3" w:rsidRDefault="00CD7127" w:rsidP="00C10206">
      <w:pPr>
        <w:pStyle w:val="Observation"/>
        <w:numPr>
          <w:ilvl w:val="0"/>
          <w:numId w:val="0"/>
        </w:numPr>
        <w:ind w:left="1701"/>
        <w:rPr>
          <w:lang w:val="en-US"/>
        </w:rPr>
      </w:pPr>
    </w:p>
    <w:p w14:paraId="714029A2" w14:textId="77777777" w:rsidR="00300AE8" w:rsidRPr="00901182" w:rsidRDefault="00300AE8" w:rsidP="00300AE8">
      <w:pPr>
        <w:pStyle w:val="Heading1"/>
        <w:rPr>
          <w:lang w:val="en-US"/>
        </w:rPr>
      </w:pPr>
      <w:bookmarkStart w:id="29" w:name="_Toc465844068"/>
      <w:bookmarkStart w:id="30" w:name="_Toc465844075"/>
      <w:bookmarkStart w:id="31" w:name="_Toc465844076"/>
      <w:bookmarkStart w:id="32" w:name="_Toc465844077"/>
      <w:bookmarkStart w:id="33" w:name="_Toc465844078"/>
      <w:bookmarkStart w:id="34" w:name="_Toc465844079"/>
      <w:bookmarkEnd w:id="29"/>
      <w:bookmarkEnd w:id="30"/>
      <w:bookmarkEnd w:id="31"/>
      <w:bookmarkEnd w:id="32"/>
      <w:bookmarkEnd w:id="33"/>
      <w:bookmarkEnd w:id="34"/>
      <w:r w:rsidRPr="00901182">
        <w:rPr>
          <w:lang w:val="en-US"/>
        </w:rPr>
        <w:lastRenderedPageBreak/>
        <w:t>Conclusion</w:t>
      </w:r>
    </w:p>
    <w:p w14:paraId="6F3F11B1" w14:textId="7B0736FE" w:rsidR="004B4D0D" w:rsidRDefault="004B4D0D" w:rsidP="004B4D0D">
      <w:pPr>
        <w:pStyle w:val="TOC1"/>
        <w:rPr>
          <w:b w:val="0"/>
        </w:rPr>
      </w:pPr>
      <w:r>
        <w:rPr>
          <w:b w:val="0"/>
        </w:rPr>
        <w:t>We have observed:</w:t>
      </w:r>
    </w:p>
    <w:p w14:paraId="7B3AF564" w14:textId="77777777" w:rsidR="008D1C06" w:rsidRPr="006A5DFB"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8D1C06" w:rsidRPr="00907D1D">
        <w:t>Observation 1</w:t>
      </w:r>
      <w:r w:rsidR="008D1C06" w:rsidRPr="006A5DFB">
        <w:rPr>
          <w:rFonts w:asciiTheme="minorHAnsi" w:eastAsiaTheme="minorEastAsia" w:hAnsiTheme="minorHAnsi" w:cstheme="minorBidi"/>
          <w:b w:val="0"/>
          <w:sz w:val="22"/>
        </w:rPr>
        <w:tab/>
      </w:r>
      <w:r w:rsidR="008D1C06" w:rsidRPr="00907D1D">
        <w:t>In CA, the UE determines whether a real or virtual PH value shall be applied for an active serving cell by considering the grant which has been received until and including the PDCCH occasion when the first UL grant for a new transmission is received since the PHR has been triggered.</w:t>
      </w:r>
    </w:p>
    <w:p w14:paraId="1FE4FF08" w14:textId="77777777" w:rsidR="008D1C06" w:rsidRPr="006A5DFB" w:rsidRDefault="008D1C06">
      <w:pPr>
        <w:pStyle w:val="TOC1"/>
        <w:rPr>
          <w:rFonts w:asciiTheme="minorHAnsi" w:eastAsiaTheme="minorEastAsia" w:hAnsiTheme="minorHAnsi" w:cstheme="minorBidi"/>
          <w:b w:val="0"/>
          <w:sz w:val="22"/>
        </w:rPr>
      </w:pPr>
      <w:r w:rsidRPr="00907D1D">
        <w:t>Observation 2</w:t>
      </w:r>
      <w:r w:rsidRPr="006A5DFB">
        <w:rPr>
          <w:rFonts w:asciiTheme="minorHAnsi" w:eastAsiaTheme="minorEastAsia" w:hAnsiTheme="minorHAnsi" w:cstheme="minorBidi"/>
          <w:b w:val="0"/>
          <w:sz w:val="22"/>
        </w:rPr>
        <w:tab/>
      </w:r>
      <w:r w:rsidRPr="00907D1D">
        <w:t xml:space="preserve">In DC, the UE determines whether a real or virtual PH value shall be applied for an active serving cell in the other CG based on the parameter </w:t>
      </w:r>
      <w:r w:rsidRPr="00907D1D">
        <w:rPr>
          <w:i/>
          <w:lang w:eastAsia="ko-KR"/>
        </w:rPr>
        <w:t>phr-ModeOtherCG</w:t>
      </w:r>
      <w:r w:rsidRPr="00907D1D">
        <w:t>.</w:t>
      </w:r>
    </w:p>
    <w:p w14:paraId="5ED5B511" w14:textId="18AE9D3B"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35" w:name="_Hlk506235623"/>
    <w:p w14:paraId="54445EE6" w14:textId="77777777" w:rsidR="008D1C06" w:rsidRPr="006A5DFB"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8D1C06" w:rsidRPr="000C0926">
        <w:t>Proposal 1</w:t>
      </w:r>
      <w:r w:rsidR="008D1C06" w:rsidRPr="006A5DFB">
        <w:rPr>
          <w:rFonts w:asciiTheme="minorHAnsi" w:eastAsiaTheme="minorEastAsia" w:hAnsiTheme="minorHAnsi" w:cstheme="minorBidi"/>
          <w:b w:val="0"/>
          <w:sz w:val="22"/>
        </w:rPr>
        <w:tab/>
      </w:r>
      <w:r w:rsidR="008D1C06">
        <w:t>Update the existing specification regarding how to determine the PH value type to state that the check is only applicable to cells belonging to the same CG.</w:t>
      </w:r>
    </w:p>
    <w:p w14:paraId="5DF98F85" w14:textId="77777777" w:rsidR="008D1C06" w:rsidRPr="006A5DFB" w:rsidRDefault="008D1C06">
      <w:pPr>
        <w:pStyle w:val="TOC1"/>
        <w:rPr>
          <w:rFonts w:asciiTheme="minorHAnsi" w:eastAsiaTheme="minorEastAsia" w:hAnsiTheme="minorHAnsi" w:cstheme="minorBidi"/>
          <w:b w:val="0"/>
          <w:sz w:val="22"/>
        </w:rPr>
      </w:pPr>
      <w:r w:rsidRPr="000C0926">
        <w:t>Proposal 2</w:t>
      </w:r>
      <w:r w:rsidRPr="006A5DFB">
        <w:rPr>
          <w:rFonts w:asciiTheme="minorHAnsi" w:eastAsiaTheme="minorEastAsia" w:hAnsiTheme="minorHAnsi" w:cstheme="minorBidi"/>
          <w:b w:val="0"/>
          <w:sz w:val="22"/>
        </w:rPr>
        <w:tab/>
      </w:r>
      <w:r>
        <w:t>Instead of referring to “the PDCCH occasion for the first UL grant”, the UE MAC refers to “the latest point in time when the grant can be transmitted on PDCCH” on the CC which is selected for PHR transmission.</w:t>
      </w:r>
    </w:p>
    <w:p w14:paraId="4A03C5B8" w14:textId="77777777" w:rsidR="008D1C06" w:rsidRPr="006A5DFB" w:rsidRDefault="008D1C06">
      <w:pPr>
        <w:pStyle w:val="TOC1"/>
        <w:rPr>
          <w:rFonts w:asciiTheme="minorHAnsi" w:eastAsiaTheme="minorEastAsia" w:hAnsiTheme="minorHAnsi" w:cstheme="minorBidi"/>
          <w:b w:val="0"/>
          <w:sz w:val="22"/>
        </w:rPr>
      </w:pPr>
      <w:r w:rsidRPr="000C0926">
        <w:t>Proposal 3</w:t>
      </w:r>
      <w:r w:rsidRPr="006A5DFB">
        <w:rPr>
          <w:rFonts w:asciiTheme="minorHAnsi" w:eastAsiaTheme="minorEastAsia" w:hAnsiTheme="minorHAnsi" w:cstheme="minorBidi"/>
          <w:b w:val="0"/>
          <w:sz w:val="22"/>
        </w:rPr>
        <w:tab/>
      </w:r>
      <w:r>
        <w:t>The UE MAC also considers the configured grant for an activated serving cell for determination of the PH value in case there is no dynamic grant is received for that cell since a PHR is triggered.</w:t>
      </w:r>
    </w:p>
    <w:p w14:paraId="0980C1AE" w14:textId="17006F6A" w:rsidR="000F4A88" w:rsidRDefault="00300AE8" w:rsidP="000F4A88">
      <w:pPr>
        <w:pStyle w:val="Heading1"/>
      </w:pPr>
      <w:r w:rsidRPr="00901182">
        <w:rPr>
          <w:lang w:val="en-US"/>
        </w:rPr>
        <w:fldChar w:fldCharType="end"/>
      </w:r>
      <w:bookmarkEnd w:id="35"/>
      <w:r w:rsidR="000F4A88" w:rsidRPr="000F4A88">
        <w:t xml:space="preserve"> </w:t>
      </w:r>
      <w:r w:rsidR="000F4A88">
        <w:t>References</w:t>
      </w:r>
    </w:p>
    <w:p w14:paraId="61C3C47F" w14:textId="77777777" w:rsidR="00891EE8" w:rsidRDefault="00891EE8" w:rsidP="00891EE8">
      <w:pPr>
        <w:pStyle w:val="Reference"/>
        <w:numPr>
          <w:ilvl w:val="0"/>
          <w:numId w:val="18"/>
        </w:numPr>
        <w:overflowPunct/>
        <w:autoSpaceDE/>
        <w:adjustRightInd/>
        <w:spacing w:line="254" w:lineRule="auto"/>
        <w:textAlignment w:val="auto"/>
        <w:rPr>
          <w:sz w:val="16"/>
        </w:rPr>
      </w:pPr>
      <w:r>
        <w:t>R2-1809580 - Further consideration on determination of the PH value type</w:t>
      </w:r>
      <w:r>
        <w:tab/>
        <w:t xml:space="preserve">Huawei, </w:t>
      </w:r>
      <w:proofErr w:type="spellStart"/>
      <w:r>
        <w:t>HiSilicon</w:t>
      </w:r>
      <w:proofErr w:type="spellEnd"/>
    </w:p>
    <w:p w14:paraId="5D32B22C" w14:textId="326283A3" w:rsidR="00300AE8" w:rsidRPr="002F33F3" w:rsidRDefault="00891EE8" w:rsidP="002F33F3">
      <w:pPr>
        <w:pStyle w:val="Reference"/>
        <w:widowControl w:val="0"/>
        <w:numPr>
          <w:ilvl w:val="0"/>
          <w:numId w:val="18"/>
        </w:numPr>
        <w:rPr>
          <w:rFonts w:cs="Arial"/>
          <w:lang w:val="de-DE"/>
        </w:rPr>
      </w:pPr>
      <w:r>
        <w:t>R2-</w:t>
      </w:r>
      <w:r w:rsidRPr="000302F8">
        <w:rPr>
          <w:highlight w:val="yellow"/>
        </w:rPr>
        <w:t>18</w:t>
      </w:r>
      <w:r w:rsidR="000302F8" w:rsidRPr="000302F8">
        <w:rPr>
          <w:highlight w:val="yellow"/>
        </w:rPr>
        <w:t>xxxx</w:t>
      </w:r>
      <w:bookmarkStart w:id="36" w:name="_GoBack"/>
      <w:bookmarkEnd w:id="36"/>
      <w:r>
        <w:t xml:space="preserve"> </w:t>
      </w:r>
      <w:proofErr w:type="gramStart"/>
      <w:r>
        <w:t>-  Corrections</w:t>
      </w:r>
      <w:proofErr w:type="gramEnd"/>
      <w:r>
        <w:t xml:space="preserve"> on determination of the PH value type</w:t>
      </w:r>
      <w:r>
        <w:tab/>
        <w:t>Ericsson</w:t>
      </w:r>
    </w:p>
    <w:sectPr w:rsidR="00300AE8" w:rsidRPr="002F33F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81B4C" w14:textId="77777777" w:rsidR="00C025CA" w:rsidRDefault="00C025CA">
      <w:pPr>
        <w:spacing w:after="0"/>
      </w:pPr>
      <w:r>
        <w:separator/>
      </w:r>
    </w:p>
  </w:endnote>
  <w:endnote w:type="continuationSeparator" w:id="0">
    <w:p w14:paraId="14038995" w14:textId="77777777" w:rsidR="00C025CA" w:rsidRDefault="00C025CA">
      <w:pPr>
        <w:spacing w:after="0"/>
      </w:pPr>
      <w:r>
        <w:continuationSeparator/>
      </w:r>
    </w:p>
  </w:endnote>
  <w:endnote w:type="continuationNotice" w:id="1">
    <w:p w14:paraId="346001A5" w14:textId="77777777" w:rsidR="00C025CA" w:rsidRDefault="00C02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FF74F" w14:textId="77777777" w:rsidR="00C025CA" w:rsidRDefault="00C025CA">
      <w:pPr>
        <w:spacing w:after="0"/>
      </w:pPr>
      <w:r>
        <w:separator/>
      </w:r>
    </w:p>
  </w:footnote>
  <w:footnote w:type="continuationSeparator" w:id="0">
    <w:p w14:paraId="2F0EC377" w14:textId="77777777" w:rsidR="00C025CA" w:rsidRDefault="00C025CA">
      <w:pPr>
        <w:spacing w:after="0"/>
      </w:pPr>
      <w:r>
        <w:continuationSeparator/>
      </w:r>
    </w:p>
  </w:footnote>
  <w:footnote w:type="continuationNotice" w:id="1">
    <w:p w14:paraId="5544FA2C" w14:textId="77777777" w:rsidR="00C025CA" w:rsidRDefault="00C025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5"/>
  </w:num>
  <w:num w:numId="6">
    <w:abstractNumId w:val="11"/>
  </w:num>
  <w:num w:numId="7">
    <w:abstractNumId w:val="12"/>
  </w:num>
  <w:num w:numId="8">
    <w:abstractNumId w:val="9"/>
  </w:num>
  <w:num w:numId="9">
    <w:abstractNumId w:val="7"/>
  </w:num>
  <w:num w:numId="10">
    <w:abstractNumId w:val="9"/>
  </w:num>
  <w:num w:numId="11">
    <w:abstractNumId w:val="9"/>
  </w:num>
  <w:num w:numId="12">
    <w:abstractNumId w:val="9"/>
    <w:lvlOverride w:ilvl="0">
      <w:startOverride w:val="1"/>
    </w:lvlOverride>
  </w:num>
  <w:num w:numId="13">
    <w:abstractNumId w:val="13"/>
  </w:num>
  <w:num w:numId="14">
    <w:abstractNumId w:val="6"/>
  </w:num>
  <w:num w:numId="15">
    <w:abstractNumId w:val="4"/>
  </w:num>
  <w:num w:numId="16">
    <w:abstractNumId w:val="2"/>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grammar="clean"/>
  <w:defaultTabStop w:val="130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1D23"/>
    <w:rsid w:val="0001514B"/>
    <w:rsid w:val="000302F8"/>
    <w:rsid w:val="00030EE7"/>
    <w:rsid w:val="00034708"/>
    <w:rsid w:val="000379FF"/>
    <w:rsid w:val="00041C84"/>
    <w:rsid w:val="00044D45"/>
    <w:rsid w:val="00050D60"/>
    <w:rsid w:val="00054E7A"/>
    <w:rsid w:val="00060A87"/>
    <w:rsid w:val="00071B1C"/>
    <w:rsid w:val="00073D40"/>
    <w:rsid w:val="00081D9F"/>
    <w:rsid w:val="00094D35"/>
    <w:rsid w:val="000A4992"/>
    <w:rsid w:val="000B6512"/>
    <w:rsid w:val="000C0B87"/>
    <w:rsid w:val="000C10AF"/>
    <w:rsid w:val="000D3330"/>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10B6F"/>
    <w:rsid w:val="0012587C"/>
    <w:rsid w:val="00127734"/>
    <w:rsid w:val="00127A9D"/>
    <w:rsid w:val="00134978"/>
    <w:rsid w:val="00136333"/>
    <w:rsid w:val="0015156A"/>
    <w:rsid w:val="00151C45"/>
    <w:rsid w:val="00157B0E"/>
    <w:rsid w:val="00163A23"/>
    <w:rsid w:val="00175099"/>
    <w:rsid w:val="001807A6"/>
    <w:rsid w:val="001855A4"/>
    <w:rsid w:val="00190787"/>
    <w:rsid w:val="00197D8A"/>
    <w:rsid w:val="001B2659"/>
    <w:rsid w:val="001B29BD"/>
    <w:rsid w:val="001B5920"/>
    <w:rsid w:val="001C2828"/>
    <w:rsid w:val="001C3E65"/>
    <w:rsid w:val="001C5113"/>
    <w:rsid w:val="001D026F"/>
    <w:rsid w:val="001E2131"/>
    <w:rsid w:val="001E270B"/>
    <w:rsid w:val="001F6E2B"/>
    <w:rsid w:val="00203669"/>
    <w:rsid w:val="00210394"/>
    <w:rsid w:val="00213D5F"/>
    <w:rsid w:val="00216405"/>
    <w:rsid w:val="00220B6E"/>
    <w:rsid w:val="002228BE"/>
    <w:rsid w:val="00230E68"/>
    <w:rsid w:val="00233C44"/>
    <w:rsid w:val="002343E5"/>
    <w:rsid w:val="00237BFD"/>
    <w:rsid w:val="00243847"/>
    <w:rsid w:val="00246759"/>
    <w:rsid w:val="002473A8"/>
    <w:rsid w:val="00250C0D"/>
    <w:rsid w:val="00260E9E"/>
    <w:rsid w:val="002636F4"/>
    <w:rsid w:val="002644EB"/>
    <w:rsid w:val="00267A79"/>
    <w:rsid w:val="00274268"/>
    <w:rsid w:val="002808B8"/>
    <w:rsid w:val="00282659"/>
    <w:rsid w:val="00290A77"/>
    <w:rsid w:val="002973A5"/>
    <w:rsid w:val="00297C6C"/>
    <w:rsid w:val="002A19E8"/>
    <w:rsid w:val="002A56D6"/>
    <w:rsid w:val="002A6EC1"/>
    <w:rsid w:val="002B36AD"/>
    <w:rsid w:val="002B6DF4"/>
    <w:rsid w:val="002C5AFE"/>
    <w:rsid w:val="002C6B36"/>
    <w:rsid w:val="002C7B14"/>
    <w:rsid w:val="002D333C"/>
    <w:rsid w:val="002E0C27"/>
    <w:rsid w:val="002E17E7"/>
    <w:rsid w:val="002F33F3"/>
    <w:rsid w:val="00300AE8"/>
    <w:rsid w:val="0030340C"/>
    <w:rsid w:val="003065DE"/>
    <w:rsid w:val="00317AB0"/>
    <w:rsid w:val="0032181B"/>
    <w:rsid w:val="0032193D"/>
    <w:rsid w:val="00322AEB"/>
    <w:rsid w:val="0032538E"/>
    <w:rsid w:val="003275F6"/>
    <w:rsid w:val="00332838"/>
    <w:rsid w:val="00333110"/>
    <w:rsid w:val="00334C73"/>
    <w:rsid w:val="0033528E"/>
    <w:rsid w:val="00336AED"/>
    <w:rsid w:val="00337C73"/>
    <w:rsid w:val="00340C41"/>
    <w:rsid w:val="00346BCC"/>
    <w:rsid w:val="00351F98"/>
    <w:rsid w:val="003520EA"/>
    <w:rsid w:val="00353D64"/>
    <w:rsid w:val="00356952"/>
    <w:rsid w:val="00364354"/>
    <w:rsid w:val="00364862"/>
    <w:rsid w:val="00365410"/>
    <w:rsid w:val="00367AFC"/>
    <w:rsid w:val="00374FAB"/>
    <w:rsid w:val="00376C88"/>
    <w:rsid w:val="003853E4"/>
    <w:rsid w:val="00397632"/>
    <w:rsid w:val="003A2A66"/>
    <w:rsid w:val="003B5795"/>
    <w:rsid w:val="003C1556"/>
    <w:rsid w:val="003C75F9"/>
    <w:rsid w:val="003D5CF3"/>
    <w:rsid w:val="003D77AE"/>
    <w:rsid w:val="003E2AA8"/>
    <w:rsid w:val="003F6EB9"/>
    <w:rsid w:val="00402745"/>
    <w:rsid w:val="00402D69"/>
    <w:rsid w:val="00402E9A"/>
    <w:rsid w:val="00404E1B"/>
    <w:rsid w:val="00406FC6"/>
    <w:rsid w:val="00407176"/>
    <w:rsid w:val="00413EA6"/>
    <w:rsid w:val="0041586D"/>
    <w:rsid w:val="00416B79"/>
    <w:rsid w:val="004344B7"/>
    <w:rsid w:val="00442A5B"/>
    <w:rsid w:val="00442EC8"/>
    <w:rsid w:val="00447FB3"/>
    <w:rsid w:val="00451D6C"/>
    <w:rsid w:val="004547D0"/>
    <w:rsid w:val="00465789"/>
    <w:rsid w:val="0046669A"/>
    <w:rsid w:val="00467C61"/>
    <w:rsid w:val="00472E77"/>
    <w:rsid w:val="00482FDE"/>
    <w:rsid w:val="00485035"/>
    <w:rsid w:val="00486646"/>
    <w:rsid w:val="004B04F8"/>
    <w:rsid w:val="004B2D33"/>
    <w:rsid w:val="004B4233"/>
    <w:rsid w:val="004B4D0D"/>
    <w:rsid w:val="004C3124"/>
    <w:rsid w:val="004C3556"/>
    <w:rsid w:val="004C4AE4"/>
    <w:rsid w:val="004D2AAE"/>
    <w:rsid w:val="004D49DF"/>
    <w:rsid w:val="004D5A5A"/>
    <w:rsid w:val="004D793B"/>
    <w:rsid w:val="004E02DB"/>
    <w:rsid w:val="004E1FB5"/>
    <w:rsid w:val="004E3E68"/>
    <w:rsid w:val="004E4D21"/>
    <w:rsid w:val="004E6201"/>
    <w:rsid w:val="004F3817"/>
    <w:rsid w:val="004F7B89"/>
    <w:rsid w:val="005150B4"/>
    <w:rsid w:val="00522963"/>
    <w:rsid w:val="0052565C"/>
    <w:rsid w:val="005257F7"/>
    <w:rsid w:val="00527F96"/>
    <w:rsid w:val="005411C2"/>
    <w:rsid w:val="00555F62"/>
    <w:rsid w:val="00566217"/>
    <w:rsid w:val="00570D60"/>
    <w:rsid w:val="00575916"/>
    <w:rsid w:val="0059080A"/>
    <w:rsid w:val="005B2111"/>
    <w:rsid w:val="005B32F5"/>
    <w:rsid w:val="005B5894"/>
    <w:rsid w:val="005C2E20"/>
    <w:rsid w:val="005C6F4C"/>
    <w:rsid w:val="005D3EFD"/>
    <w:rsid w:val="005D61F3"/>
    <w:rsid w:val="005E2E6E"/>
    <w:rsid w:val="005F1A18"/>
    <w:rsid w:val="005F4AA0"/>
    <w:rsid w:val="005F51AD"/>
    <w:rsid w:val="005F5AF9"/>
    <w:rsid w:val="006129E6"/>
    <w:rsid w:val="006140C6"/>
    <w:rsid w:val="0062612F"/>
    <w:rsid w:val="00626476"/>
    <w:rsid w:val="0063158F"/>
    <w:rsid w:val="006317C5"/>
    <w:rsid w:val="00633AAF"/>
    <w:rsid w:val="00634D4C"/>
    <w:rsid w:val="006400D8"/>
    <w:rsid w:val="0066234E"/>
    <w:rsid w:val="00677802"/>
    <w:rsid w:val="0068212F"/>
    <w:rsid w:val="00682D35"/>
    <w:rsid w:val="00683621"/>
    <w:rsid w:val="00683890"/>
    <w:rsid w:val="00691D71"/>
    <w:rsid w:val="00692318"/>
    <w:rsid w:val="006925D9"/>
    <w:rsid w:val="00695909"/>
    <w:rsid w:val="0069778A"/>
    <w:rsid w:val="006A0422"/>
    <w:rsid w:val="006A5DFB"/>
    <w:rsid w:val="006B0D57"/>
    <w:rsid w:val="006B33F3"/>
    <w:rsid w:val="006B5EC1"/>
    <w:rsid w:val="006C01F9"/>
    <w:rsid w:val="006C0A9E"/>
    <w:rsid w:val="006C1FD2"/>
    <w:rsid w:val="006C6053"/>
    <w:rsid w:val="006D11C9"/>
    <w:rsid w:val="006E163D"/>
    <w:rsid w:val="006E5567"/>
    <w:rsid w:val="006E74F4"/>
    <w:rsid w:val="006F19C8"/>
    <w:rsid w:val="006F470B"/>
    <w:rsid w:val="006F6466"/>
    <w:rsid w:val="007208E9"/>
    <w:rsid w:val="00724915"/>
    <w:rsid w:val="00732EDA"/>
    <w:rsid w:val="00733C14"/>
    <w:rsid w:val="00733F1A"/>
    <w:rsid w:val="0073520A"/>
    <w:rsid w:val="0074796C"/>
    <w:rsid w:val="007535B6"/>
    <w:rsid w:val="007646A2"/>
    <w:rsid w:val="00766CE2"/>
    <w:rsid w:val="007762F4"/>
    <w:rsid w:val="00784611"/>
    <w:rsid w:val="00790D2C"/>
    <w:rsid w:val="007956B7"/>
    <w:rsid w:val="007A089A"/>
    <w:rsid w:val="007A43E1"/>
    <w:rsid w:val="007A579B"/>
    <w:rsid w:val="007A6403"/>
    <w:rsid w:val="007B0CD8"/>
    <w:rsid w:val="007B4319"/>
    <w:rsid w:val="007B638F"/>
    <w:rsid w:val="007C06D6"/>
    <w:rsid w:val="007C311C"/>
    <w:rsid w:val="007E2959"/>
    <w:rsid w:val="007E4743"/>
    <w:rsid w:val="007E7C58"/>
    <w:rsid w:val="007F3C4C"/>
    <w:rsid w:val="007F4B86"/>
    <w:rsid w:val="007F5F73"/>
    <w:rsid w:val="007F7CEE"/>
    <w:rsid w:val="00800F2C"/>
    <w:rsid w:val="00804EEB"/>
    <w:rsid w:val="00806150"/>
    <w:rsid w:val="00815835"/>
    <w:rsid w:val="008174F1"/>
    <w:rsid w:val="00827C42"/>
    <w:rsid w:val="00827E21"/>
    <w:rsid w:val="00830DA8"/>
    <w:rsid w:val="00831353"/>
    <w:rsid w:val="00842335"/>
    <w:rsid w:val="00843162"/>
    <w:rsid w:val="00860F74"/>
    <w:rsid w:val="00865E6D"/>
    <w:rsid w:val="0087171B"/>
    <w:rsid w:val="008773FC"/>
    <w:rsid w:val="008823E1"/>
    <w:rsid w:val="008900A8"/>
    <w:rsid w:val="00891087"/>
    <w:rsid w:val="00891EE8"/>
    <w:rsid w:val="008A7004"/>
    <w:rsid w:val="008A796A"/>
    <w:rsid w:val="008B1168"/>
    <w:rsid w:val="008B3A0B"/>
    <w:rsid w:val="008C7F1D"/>
    <w:rsid w:val="008D1C06"/>
    <w:rsid w:val="008D5E65"/>
    <w:rsid w:val="008E1EFF"/>
    <w:rsid w:val="008F1267"/>
    <w:rsid w:val="008F1BB3"/>
    <w:rsid w:val="008F1FB1"/>
    <w:rsid w:val="008F3E84"/>
    <w:rsid w:val="009026FD"/>
    <w:rsid w:val="00912E03"/>
    <w:rsid w:val="00915DAB"/>
    <w:rsid w:val="009237DB"/>
    <w:rsid w:val="00934374"/>
    <w:rsid w:val="0093709F"/>
    <w:rsid w:val="0094137A"/>
    <w:rsid w:val="00946E79"/>
    <w:rsid w:val="00963084"/>
    <w:rsid w:val="00963D07"/>
    <w:rsid w:val="00971546"/>
    <w:rsid w:val="00982A65"/>
    <w:rsid w:val="009916A5"/>
    <w:rsid w:val="00991FDE"/>
    <w:rsid w:val="009923F7"/>
    <w:rsid w:val="0099483A"/>
    <w:rsid w:val="009974BF"/>
    <w:rsid w:val="009A2024"/>
    <w:rsid w:val="009A7BEE"/>
    <w:rsid w:val="009B570B"/>
    <w:rsid w:val="009C3DDD"/>
    <w:rsid w:val="009C3E8F"/>
    <w:rsid w:val="009D5361"/>
    <w:rsid w:val="009D7AA5"/>
    <w:rsid w:val="009E6728"/>
    <w:rsid w:val="009F163B"/>
    <w:rsid w:val="009F4D5C"/>
    <w:rsid w:val="009F703D"/>
    <w:rsid w:val="00A04969"/>
    <w:rsid w:val="00A15641"/>
    <w:rsid w:val="00A20FD6"/>
    <w:rsid w:val="00A22933"/>
    <w:rsid w:val="00A239EC"/>
    <w:rsid w:val="00A25A25"/>
    <w:rsid w:val="00A31575"/>
    <w:rsid w:val="00A45553"/>
    <w:rsid w:val="00A52B76"/>
    <w:rsid w:val="00A57D1C"/>
    <w:rsid w:val="00A60D53"/>
    <w:rsid w:val="00A71607"/>
    <w:rsid w:val="00A75538"/>
    <w:rsid w:val="00A9043F"/>
    <w:rsid w:val="00A94DE5"/>
    <w:rsid w:val="00AA3344"/>
    <w:rsid w:val="00AA4893"/>
    <w:rsid w:val="00AB0092"/>
    <w:rsid w:val="00AB0CFC"/>
    <w:rsid w:val="00AB18F9"/>
    <w:rsid w:val="00AC6A44"/>
    <w:rsid w:val="00AD0792"/>
    <w:rsid w:val="00AD42D9"/>
    <w:rsid w:val="00AD6E43"/>
    <w:rsid w:val="00AF0E2C"/>
    <w:rsid w:val="00AF2816"/>
    <w:rsid w:val="00AF754E"/>
    <w:rsid w:val="00B03D6A"/>
    <w:rsid w:val="00B079CA"/>
    <w:rsid w:val="00B10EAD"/>
    <w:rsid w:val="00B1214B"/>
    <w:rsid w:val="00B1646E"/>
    <w:rsid w:val="00B21697"/>
    <w:rsid w:val="00B33EB8"/>
    <w:rsid w:val="00B3684A"/>
    <w:rsid w:val="00B42AE3"/>
    <w:rsid w:val="00B45CC3"/>
    <w:rsid w:val="00B47FFC"/>
    <w:rsid w:val="00B611B7"/>
    <w:rsid w:val="00B612D6"/>
    <w:rsid w:val="00B70A6C"/>
    <w:rsid w:val="00B7261D"/>
    <w:rsid w:val="00B80220"/>
    <w:rsid w:val="00B82CF3"/>
    <w:rsid w:val="00B9507A"/>
    <w:rsid w:val="00BA1BFA"/>
    <w:rsid w:val="00BA4507"/>
    <w:rsid w:val="00BA6A30"/>
    <w:rsid w:val="00BB1177"/>
    <w:rsid w:val="00BB651F"/>
    <w:rsid w:val="00BC02E7"/>
    <w:rsid w:val="00BC1899"/>
    <w:rsid w:val="00BC7EB3"/>
    <w:rsid w:val="00BD48DE"/>
    <w:rsid w:val="00BD5A2C"/>
    <w:rsid w:val="00BD6EAD"/>
    <w:rsid w:val="00BE4CE7"/>
    <w:rsid w:val="00BF6927"/>
    <w:rsid w:val="00C025CA"/>
    <w:rsid w:val="00C06FAE"/>
    <w:rsid w:val="00C10206"/>
    <w:rsid w:val="00C14904"/>
    <w:rsid w:val="00C16175"/>
    <w:rsid w:val="00C236F1"/>
    <w:rsid w:val="00C34ABE"/>
    <w:rsid w:val="00C35DA0"/>
    <w:rsid w:val="00C36DEE"/>
    <w:rsid w:val="00C41606"/>
    <w:rsid w:val="00C457C8"/>
    <w:rsid w:val="00C45B7D"/>
    <w:rsid w:val="00C45BFF"/>
    <w:rsid w:val="00C50005"/>
    <w:rsid w:val="00C51455"/>
    <w:rsid w:val="00C5651D"/>
    <w:rsid w:val="00C60A5A"/>
    <w:rsid w:val="00C61CAE"/>
    <w:rsid w:val="00C6452E"/>
    <w:rsid w:val="00C659E5"/>
    <w:rsid w:val="00C67A10"/>
    <w:rsid w:val="00C67C72"/>
    <w:rsid w:val="00C7654B"/>
    <w:rsid w:val="00C81D2A"/>
    <w:rsid w:val="00C84049"/>
    <w:rsid w:val="00C91055"/>
    <w:rsid w:val="00C925C5"/>
    <w:rsid w:val="00C92F89"/>
    <w:rsid w:val="00C94714"/>
    <w:rsid w:val="00CA06B5"/>
    <w:rsid w:val="00CA2FBB"/>
    <w:rsid w:val="00CC4EEC"/>
    <w:rsid w:val="00CC52CB"/>
    <w:rsid w:val="00CC5550"/>
    <w:rsid w:val="00CC6022"/>
    <w:rsid w:val="00CD7127"/>
    <w:rsid w:val="00CE6711"/>
    <w:rsid w:val="00D014CB"/>
    <w:rsid w:val="00D042E3"/>
    <w:rsid w:val="00D11990"/>
    <w:rsid w:val="00D12243"/>
    <w:rsid w:val="00D140CA"/>
    <w:rsid w:val="00D238C1"/>
    <w:rsid w:val="00D245E0"/>
    <w:rsid w:val="00D2601A"/>
    <w:rsid w:val="00D410A1"/>
    <w:rsid w:val="00D44159"/>
    <w:rsid w:val="00D504F5"/>
    <w:rsid w:val="00D54070"/>
    <w:rsid w:val="00D54310"/>
    <w:rsid w:val="00D62FE8"/>
    <w:rsid w:val="00D655A2"/>
    <w:rsid w:val="00D667CB"/>
    <w:rsid w:val="00D67E94"/>
    <w:rsid w:val="00D74596"/>
    <w:rsid w:val="00D82262"/>
    <w:rsid w:val="00D85D78"/>
    <w:rsid w:val="00D92CCA"/>
    <w:rsid w:val="00D94230"/>
    <w:rsid w:val="00DA1683"/>
    <w:rsid w:val="00DA70DC"/>
    <w:rsid w:val="00DB00FC"/>
    <w:rsid w:val="00DB396A"/>
    <w:rsid w:val="00DB3988"/>
    <w:rsid w:val="00DB4D60"/>
    <w:rsid w:val="00DB5450"/>
    <w:rsid w:val="00DB6713"/>
    <w:rsid w:val="00DC0749"/>
    <w:rsid w:val="00DC4FFE"/>
    <w:rsid w:val="00DD2520"/>
    <w:rsid w:val="00DD2AD8"/>
    <w:rsid w:val="00DD6519"/>
    <w:rsid w:val="00DD7439"/>
    <w:rsid w:val="00DE7B11"/>
    <w:rsid w:val="00DF0B4B"/>
    <w:rsid w:val="00DF1B4E"/>
    <w:rsid w:val="00DF4E7C"/>
    <w:rsid w:val="00E0337D"/>
    <w:rsid w:val="00E12072"/>
    <w:rsid w:val="00E12E79"/>
    <w:rsid w:val="00E15985"/>
    <w:rsid w:val="00E159FA"/>
    <w:rsid w:val="00E22618"/>
    <w:rsid w:val="00E230AA"/>
    <w:rsid w:val="00E23DB8"/>
    <w:rsid w:val="00E30456"/>
    <w:rsid w:val="00E351AD"/>
    <w:rsid w:val="00E369B4"/>
    <w:rsid w:val="00E47051"/>
    <w:rsid w:val="00E5059F"/>
    <w:rsid w:val="00E53927"/>
    <w:rsid w:val="00E6311F"/>
    <w:rsid w:val="00E67C4C"/>
    <w:rsid w:val="00E71978"/>
    <w:rsid w:val="00E74691"/>
    <w:rsid w:val="00E949A5"/>
    <w:rsid w:val="00E96E3E"/>
    <w:rsid w:val="00EA3094"/>
    <w:rsid w:val="00EB4F16"/>
    <w:rsid w:val="00EF12C2"/>
    <w:rsid w:val="00EF7935"/>
    <w:rsid w:val="00F0324E"/>
    <w:rsid w:val="00F04708"/>
    <w:rsid w:val="00F05DB9"/>
    <w:rsid w:val="00F06578"/>
    <w:rsid w:val="00F07591"/>
    <w:rsid w:val="00F134EF"/>
    <w:rsid w:val="00F13AC9"/>
    <w:rsid w:val="00F22345"/>
    <w:rsid w:val="00F25148"/>
    <w:rsid w:val="00F31475"/>
    <w:rsid w:val="00F455CA"/>
    <w:rsid w:val="00F55412"/>
    <w:rsid w:val="00F5556E"/>
    <w:rsid w:val="00F645C3"/>
    <w:rsid w:val="00F64910"/>
    <w:rsid w:val="00F679E3"/>
    <w:rsid w:val="00F738D2"/>
    <w:rsid w:val="00F73D6F"/>
    <w:rsid w:val="00F73E69"/>
    <w:rsid w:val="00F75B22"/>
    <w:rsid w:val="00F76E04"/>
    <w:rsid w:val="00F80289"/>
    <w:rsid w:val="00F916DB"/>
    <w:rsid w:val="00F922E9"/>
    <w:rsid w:val="00F96474"/>
    <w:rsid w:val="00FA0687"/>
    <w:rsid w:val="00FA1F8F"/>
    <w:rsid w:val="00FA53DA"/>
    <w:rsid w:val="00FB0D4B"/>
    <w:rsid w:val="00FB0F81"/>
    <w:rsid w:val="00FB4F39"/>
    <w:rsid w:val="00FE22DC"/>
    <w:rsid w:val="00FE3290"/>
    <w:rsid w:val="00FF0E6C"/>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styleId="Hyperlink">
    <w:name w:val="Hyperlink"/>
    <w:uiPriority w:val="99"/>
    <w:semiHidden/>
    <w:unhideWhenUsed/>
    <w:rsid w:val="005C6F4C"/>
    <w:rPr>
      <w:color w:val="0000FF"/>
      <w:u w:val="single"/>
    </w:rPr>
  </w:style>
  <w:style w:type="character" w:customStyle="1" w:styleId="Doc-titleChar">
    <w:name w:val="Doc-title Char"/>
    <w:link w:val="Doc-title"/>
    <w:locked/>
    <w:rsid w:val="005C6F4C"/>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5C6F4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5C6F4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ext2Char">
    <w:name w:val="Doc-text2 Char"/>
    <w:link w:val="Doc-text2"/>
    <w:locked/>
    <w:rsid w:val="005C6F4C"/>
    <w:rPr>
      <w:rFonts w:ascii="Arial" w:eastAsia="MS Mincho" w:hAnsi="Arial" w:cs="Times New Roman"/>
      <w:sz w:val="20"/>
      <w:szCs w:val="24"/>
      <w:lang w:val="en-GB" w:eastAsia="en-GB"/>
    </w:rPr>
  </w:style>
  <w:style w:type="paragraph" w:customStyle="1" w:styleId="Agreement">
    <w:name w:val="Agreement"/>
    <w:basedOn w:val="Normal"/>
    <w:next w:val="Doc-text2"/>
    <w:rsid w:val="005C6F4C"/>
    <w:pPr>
      <w:numPr>
        <w:numId w:val="2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8995325">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48304581">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5813497">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38606974">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ewangmi/Desktop/NSA%20UP/swearL23/RAN2_103/Docs/R2-180958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5NUHHDQN7SK2-1476151046-29585</_dlc_DocId>
    <_dlc_DocIdUrl xmlns="f166a696-7b5b-4ccd-9f0c-ffde0cceec81">
      <Url>https://ericsson.sharepoint.com/sites/star/_layouts/15/DocIdRedir.aspx?ID=5NUHHDQN7SK2-1476151046-29585</Url>
      <Description>5NUHHDQN7SK2-1476151046-29585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69E987DC-DE9F-4B7D-906A-2BDD6EB0C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F6CF4286-2A34-4A59-946F-2CA1C699BC9F}">
  <ds:schemaRefs>
    <ds:schemaRef ds:uri="http://purl.org/dc/term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schemas.microsoft.com/sharepoint/v4"/>
    <ds:schemaRef ds:uri="f166a696-7b5b-4ccd-9f0c-ffde0cceec81"/>
    <ds:schemaRef ds:uri="d8762117-8292-4133-b1c7-eab5c6487cfd"/>
    <ds:schemaRef ds:uri="611109f9-ed58-4498-a270-1fb2086a532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2018-09-05T10:32:00Z</dcterms:created>
  <dcterms:modified xsi:type="dcterms:W3CDTF">2018-09-27T15:57:00Z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c30e0e3c-ebfc-4c24-b728-167e8b3d14df</vt:lpwstr>
  </property>
  <property fmtid="{D5CDD505-2E9C-101B-9397-08002B2CF9AE}" pid="13" name="URL">
    <vt:lpwstr/>
  </property>
  <property fmtid="{D5CDD505-2E9C-101B-9397-08002B2CF9AE}" pid="14" name="Comments">
    <vt:lpwstr/>
  </property>
</Properties>
</file>